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sz w:val="30"/>
        </w:rPr>
        <w:t>VCA PLATFORMS LLC</w:t>
      </w:r>
    </w:p>
    <w:p>
      <w:pPr>
        <w:spacing w:after="20"/>
        <w:jc w:val="center"/>
      </w:pPr>
      <w:r>
        <w:rPr>
          <w:b/>
          <w:sz w:val="24"/>
        </w:rPr>
        <w:t>SOURCE DEPENDENCY AND DIGITAL TRANSFER ROOM PROTOCOL</w:t>
      </w:r>
    </w:p>
    <w:p>
      <w:pPr>
        <w:spacing w:after="20"/>
        <w:jc w:val="center"/>
      </w:pPr>
      <w:r>
        <w:rPr>
          <w:b/>
          <w:sz w:val="17"/>
        </w:rPr>
        <w:t>Master Technical Transfer Protocol</w:t>
      </w:r>
    </w:p>
    <w:p>
      <w:pPr>
        <w:spacing w:after="20"/>
        <w:jc w:val="center"/>
      </w:pPr>
      <w:r>
        <w:rPr>
          <w:b w:val="0"/>
          <w:sz w:val="16"/>
        </w:rPr>
        <w:t>Document ID: VCA-PLAT-023  |  Status: Draft / Transaction Implementation Record</w:t>
      </w:r>
    </w:p>
    <w:p>
      <w:r>
        <w:t>This document is part of the VCA Platforms LLC definitive transaction implementation package and is intended to implement the commercially agreed framework without independently expanding or renegotiating those terms.</w:t>
      </w:r>
    </w:p>
    <w:p>
      <w:pPr>
        <w:spacing w:before="120" w:after="20"/>
      </w:pPr>
      <w:r>
        <w:rPr>
          <w:b/>
          <w:sz w:val="20"/>
        </w:rPr>
        <w:t>1. PURPOSE</w:t>
      </w:r>
    </w:p>
    <w:p>
      <w:r>
        <w:t>This protocol establishes a single controlled process for technical delivery, chain-of-title evidence, dependency disclosure, access transition and closing verification across the BMV Licensed IP, Education Platform and Kayla transaction records.</w:t>
      </w:r>
    </w:p>
    <w:p>
      <w:pPr>
        <w:spacing w:before="120" w:after="20"/>
      </w:pPr>
      <w:r>
        <w:rPr>
          <w:b/>
          <w:sz w:val="20"/>
        </w:rPr>
        <w:t>2. MASTER INDEX</w:t>
      </w:r>
    </w:p>
    <w:p>
      <w:r>
        <w:t>Each transferred, licensed, excluded or third-party technical item will be associated with a document ID, asset ID, classification, repository/location, version or commit reference, dependency status and closing status.</w:t>
      </w:r>
    </w:p>
    <w:p>
      <w:pPr>
        <w:spacing w:before="120" w:after="20"/>
      </w:pPr>
      <w:r>
        <w:rPr>
          <w:b/>
          <w:sz w:val="20"/>
        </w:rPr>
        <w:t>3. DIGITAL TRANSFER ROOM</w:t>
      </w:r>
    </w:p>
    <w:p>
      <w:r>
        <w:t>The transfer room will maintain executed transaction documents, asset schedules, repository exports, manifests, architecture records, ownership evidence, dependency registers, acceptance certificates and exception logs.</w:t>
      </w:r>
    </w:p>
    <w:p>
      <w:pPr>
        <w:spacing w:before="120" w:after="20"/>
      </w:pPr>
      <w:r>
        <w:rPr>
          <w:b/>
          <w:sz w:val="20"/>
        </w:rPr>
        <w:t>4. SECURITY</w:t>
      </w:r>
    </w:p>
    <w:p>
      <w:r>
        <w:t>Passwords, private keys, API tokens and other secrets will not be embedded in the executed document package. Secure credential transfer or re-provisioning will be documented by completion status only.</w:t>
      </w:r>
    </w:p>
    <w:p>
      <w:pPr>
        <w:spacing w:before="120" w:after="20"/>
      </w:pPr>
      <w:r>
        <w:rPr>
          <w:b/>
          <w:sz w:val="20"/>
        </w:rPr>
        <w:t>5. CODEX / AUTOMATED INVENTORY</w:t>
      </w:r>
    </w:p>
    <w:p>
      <w:r>
        <w:t>Codex or comparable tooling may be used to inspect repositories and generate file trees, package/dependency manifests, environment-reference inventories, architecture summaries and cryptographic hash manifests.</w:t>
      </w:r>
    </w:p>
    <w:p>
      <w:pPr>
        <w:spacing w:before="120" w:after="20"/>
      </w:pPr>
      <w:r>
        <w:rPr>
          <w:b/>
          <w:sz w:val="20"/>
        </w:rPr>
        <w:t>6. HUMAN RECONCILIATION</w:t>
      </w:r>
    </w:p>
    <w:p>
      <w:r>
        <w:t>Automated technical output must be reviewed against the signed legal asset classifications. A machine inventory cannot convert third-party property into Company-owned IP or override an executed asset schedule.</w:t>
      </w:r>
    </w:p>
    <w:p>
      <w:pPr>
        <w:spacing w:before="120" w:after="20"/>
      </w:pPr>
      <w:r>
        <w:rPr>
          <w:b/>
          <w:sz w:val="20"/>
        </w:rPr>
        <w:t>7. EXCEPTION CONTROL</w:t>
      </w:r>
    </w:p>
    <w:p>
      <w:r>
        <w:t>Missing assets, disputed classifications, inaccessible accounts, non-transferable services and unresolved technical issues will be logged with responsible party, target resolution and status.</w:t>
      </w:r>
    </w:p>
    <w:p>
      <w:pPr>
        <w:spacing w:before="120" w:after="20"/>
      </w:pPr>
      <w:r>
        <w:rPr>
          <w:b/>
          <w:sz w:val="20"/>
        </w:rPr>
        <w:t>8. CLOSING CERTIFICATION</w:t>
      </w:r>
    </w:p>
    <w:p>
      <w:r>
        <w:t>When required delivery items are complete, the applicable record may be certified VERIFIED / TRANSFER COMPLETE. If material open items remain, the record will state CONDITIONALLY ACCEPTED / OPEN ITEMS ATTACHED.</w:t>
      </w:r>
    </w:p>
    <w:p>
      <w:pPr>
        <w:spacing w:before="120" w:after="20"/>
      </w:pPr>
      <w:r>
        <w:rPr>
          <w:b/>
          <w:sz w:val="20"/>
        </w:rPr>
        <w:t>9. POST-CLOSING ARCHIVE</w:t>
      </w:r>
    </w:p>
    <w:p>
      <w:r>
        <w:t>The final archive will preserve the technical state delivered at Closing and provide a durable record for future diligence, audits, financing, licensing, acquisition or successor transactions.</w:t>
      </w:r>
    </w:p>
    <w:p>
      <w:pPr>
        <w:spacing w:before="140"/>
      </w:pPr>
      <w:r>
        <w:rPr>
          <w:b/>
          <w:sz w:val="20"/>
        </w:rPr>
        <w:t>ACKNOWLEDGMENT / EXECUTION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54"/>
        <w:gridCol w:w="5054"/>
      </w:tblGrid>
      <w:tr>
        <w:tc>
          <w:tcPr>
            <w:tcW w:type="dxa" w:w="5054"/>
          </w:tcPr>
          <w:p>
            <w:r>
              <w:rPr>
                <w:b/>
              </w:rPr>
              <w:t>VCA PLATFORMS LLC</w:t>
              <w:br/>
            </w:r>
            <w:r>
              <w:t>By: ______________________________</w:t>
              <w:br/>
              <w:t>Name: Vince Carol</w:t>
              <w:br/>
              <w:t>Title: Founder / Chief Executive Officer</w:t>
              <w:br/>
              <w:t>Date: _____________________________</w:t>
            </w:r>
          </w:p>
        </w:tc>
        <w:tc>
          <w:tcPr>
            <w:tcW w:type="dxa" w:w="5054"/>
          </w:tcPr>
          <w:p>
            <w:r>
              <w:rPr>
                <w:b/>
              </w:rPr>
              <w:t>ACORN CAPITAL HOLDINGS LLC</w:t>
              <w:br/>
            </w:r>
            <w:r>
              <w:t>By: ______________________________</w:t>
              <w:br/>
              <w:t>Name: Duane F. Guilford</w:t>
              <w:br/>
              <w:t>Title: Authorized Representative</w:t>
              <w:br/>
              <w:t>Date: _____________________________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93" w:right="1066" w:bottom="893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VCA Platforms LLC | VCA-PLAT-023 | Source Dependency and Digital Transfer Room Protocol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