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0"/>
        </w:rPr>
        <w:t>VCA PLATFORMS LLC</w:t>
      </w:r>
    </w:p>
    <w:p>
      <w:pPr>
        <w:spacing w:after="20"/>
        <w:jc w:val="center"/>
      </w:pPr>
      <w:r>
        <w:rPr>
          <w:b/>
          <w:sz w:val="24"/>
        </w:rPr>
        <w:t>KAYLA — ACQUIRED INTELLECTUAL PROPERTY ASSET SCHEDULE</w:t>
      </w:r>
    </w:p>
    <w:p>
      <w:pPr>
        <w:spacing w:after="20"/>
        <w:jc w:val="center"/>
      </w:pPr>
      <w:r>
        <w:rPr>
          <w:b/>
          <w:sz w:val="17"/>
        </w:rPr>
        <w:t>Schedule to VCA-PLAT-015 Kayla IP Asset Purchase &amp; Assignment Agreement</w:t>
      </w:r>
    </w:p>
    <w:p>
      <w:pPr>
        <w:spacing w:after="20"/>
        <w:jc w:val="center"/>
      </w:pPr>
      <w:r>
        <w:rPr>
          <w:b w:val="0"/>
          <w:sz w:val="16"/>
        </w:rPr>
        <w:t>Document ID: VCA-PLAT-016  |  Status: Draft Inventory / Closing Schedule</w:t>
      </w:r>
    </w:p>
    <w:p>
      <w:r>
        <w:t>This Schedule identifies the categories of Kayla intellectual property and related Seller-owned assets intended to be acquired by VCA Platforms LLC (“Buyer”) from BMV Holdings LLC (“Seller”) at Closing under VCA-PLAT-015. It is an inventory and chain-of-title schedule and does not independently transfer title before Closing. The final executed version should be reconciled against the actual repositories, technical inventory, documentation, ownership evidence and third-party dependencies delivered through the controlled technical-transfer process.</w:t>
      </w:r>
    </w:p>
    <w:p>
      <w:pPr>
        <w:spacing w:before="120" w:after="20"/>
      </w:pPr>
      <w:r>
        <w:rPr>
          <w:b/>
          <w:sz w:val="20"/>
        </w:rPr>
        <w:t>A. CORE KAYLA INTELLECTUAL PROPERTY</w:t>
      </w:r>
    </w:p>
    <w:p>
      <w:pPr>
        <w:spacing w:after="30"/>
      </w:pPr>
      <w:r>
        <w:rPr>
          <w:b/>
        </w:rPr>
        <w:t xml:space="preserve">KAY-016-01 — Core Application Source. </w:t>
      </w:r>
      <w:r>
        <w:t>Seller-owned source code, application logic and proprietary software components comprising the Kayla product or service, to the extent actually owned and transferable by Seller.</w:t>
      </w:r>
    </w:p>
    <w:p>
      <w:pPr>
        <w:spacing w:after="30"/>
      </w:pPr>
      <w:r>
        <w:rPr>
          <w:b/>
        </w:rPr>
        <w:t xml:space="preserve">KAY-016-02 — Prompt, Instruction &amp; Resolver Logic. </w:t>
      </w:r>
      <w:r>
        <w:t>Seller-owned system prompts, instruction sets, prompt structures, resolver logic, decision pathways, response frameworks, routing rules and reusable conversational methodologies uniquely developed for or embodied in Kayla.</w:t>
      </w:r>
    </w:p>
    <w:p>
      <w:pPr>
        <w:spacing w:after="30"/>
      </w:pPr>
      <w:r>
        <w:rPr>
          <w:b/>
        </w:rPr>
        <w:t xml:space="preserve">KAY-016-03 — Agent &amp; Workflow Architecture. </w:t>
      </w:r>
      <w:r>
        <w:t>Seller-owned orchestration logic, task sequencing, handoff logic, workflow structures, automation patterns and agent behavior specifications used to operate Kayla.</w:t>
      </w:r>
    </w:p>
    <w:p>
      <w:pPr>
        <w:spacing w:after="30"/>
      </w:pPr>
      <w:r>
        <w:rPr>
          <w:b/>
        </w:rPr>
        <w:t xml:space="preserve">KAY-016-04 — Intelligence &amp; Context Frameworks. </w:t>
      </w:r>
      <w:r>
        <w:t>Seller-owned Kayla-specific structures for persistent context, structured memory, reusable knowledge, business-state handling, decision support, personalization and related intelligence-layer functionality.</w:t>
      </w:r>
    </w:p>
    <w:p>
      <w:pPr>
        <w:spacing w:after="30"/>
      </w:pPr>
      <w:r>
        <w:rPr>
          <w:b/>
        </w:rPr>
        <w:t xml:space="preserve">KAY-016-05 — Data Models &amp; Schemas. </w:t>
      </w:r>
      <w:r>
        <w:t>Seller-owned Kayla-specific data models, taxonomies, schemas, metadata structures, configuration structures and information architecture.</w:t>
      </w:r>
    </w:p>
    <w:p>
      <w:pPr>
        <w:spacing w:after="30"/>
      </w:pPr>
      <w:r>
        <w:rPr>
          <w:b/>
        </w:rPr>
        <w:t xml:space="preserve">KAY-016-06 — Interface &amp; Experience Components. </w:t>
      </w:r>
      <w:r>
        <w:t>Seller-owned user-interface components, layouts, navigation, conversational flows, administrative interfaces and product-experience logic uniquely associated with Kayla.</w:t>
      </w:r>
    </w:p>
    <w:p>
      <w:pPr>
        <w:spacing w:after="30"/>
      </w:pPr>
      <w:r>
        <w:rPr>
          <w:b/>
        </w:rPr>
        <w:t xml:space="preserve">KAY-016-07 — Integration Components. </w:t>
      </w:r>
      <w:r>
        <w:t>Seller-owned integration code, adapters, connectors, routing components and reusable methods used to connect Kayla to models, APIs, databases, authentication, storage, content systems or other external services.</w:t>
      </w:r>
    </w:p>
    <w:p>
      <w:pPr>
        <w:spacing w:after="30"/>
      </w:pPr>
      <w:r>
        <w:rPr>
          <w:b/>
        </w:rPr>
        <w:t xml:space="preserve">KAY-016-08 — Administrative &amp; Control Components. </w:t>
      </w:r>
      <w:r>
        <w:t>Seller-owned Kayla-specific administrative dashboards, access-control structures, configuration tools, permissions logic, audit structures, governance controls and system-management interfaces.</w:t>
      </w:r>
    </w:p>
    <w:p>
      <w:pPr>
        <w:spacing w:after="30"/>
      </w:pPr>
      <w:r>
        <w:rPr>
          <w:b/>
        </w:rPr>
        <w:t xml:space="preserve">KAY-016-09 — Documentation &amp; Technical Specifications. </w:t>
      </w:r>
      <w:r>
        <w:t>Seller-owned architecture documents, operating documentation, technical specifications, implementation instructions, system maps, configuration records and related Kayla technical materials.</w:t>
      </w:r>
    </w:p>
    <w:p>
      <w:pPr>
        <w:spacing w:after="30"/>
      </w:pPr>
      <w:r>
        <w:rPr>
          <w:b/>
        </w:rPr>
        <w:t xml:space="preserve">KAY-016-10 — Reusable Source Components. </w:t>
      </w:r>
      <w:r>
        <w:t>Seller-owned Kayla-specific source components, templates, utilities, libraries and implementation assets that are transferable and specifically identified during technical reconciliation.</w:t>
      </w:r>
    </w:p>
    <w:p>
      <w:pPr>
        <w:spacing w:before="120" w:after="20"/>
      </w:pPr>
      <w:r>
        <w:rPr>
          <w:b/>
          <w:sz w:val="20"/>
        </w:rPr>
        <w:t>B. KAYLA IDENTITY, PERSONA &amp; PRODUCT MATERIALS</w:t>
      </w:r>
    </w:p>
    <w:p>
      <w:pPr>
        <w:spacing w:after="30"/>
      </w:pPr>
      <w:r>
        <w:rPr>
          <w:b/>
        </w:rPr>
        <w:t xml:space="preserve">KAY-016-11 — Kayla Persona Specifications. </w:t>
      </w:r>
      <w:r>
        <w:t>Seller-owned written specifications defining Kayla’s persona, role, conversational behavior, voice characteristics, interaction model, response conventions and product identity.</w:t>
      </w:r>
    </w:p>
    <w:p>
      <w:pPr>
        <w:spacing w:after="30"/>
      </w:pPr>
      <w:r>
        <w:rPr>
          <w:b/>
        </w:rPr>
        <w:t xml:space="preserve">KAY-016-12 — Scripts &amp; Training Materials. </w:t>
      </w:r>
      <w:r>
        <w:t>Seller-owned Kayla-specific scripts, demonstrations, training materials, product explanations, use-case materials and operational guidance.</w:t>
      </w:r>
    </w:p>
    <w:p>
      <w:pPr>
        <w:spacing w:after="30"/>
      </w:pPr>
      <w:r>
        <w:rPr>
          <w:b/>
        </w:rPr>
        <w:t xml:space="preserve">KAY-016-13 — Names, Designs &amp; Brand Materials. </w:t>
      </w:r>
      <w:r>
        <w:t>Seller-owned Kayla-specific names, designs, graphics, product identity materials and related brand assets only to the extent owned and transferable by Seller. Any trademark rights will be identified and transferred separately where required.</w:t>
      </w:r>
    </w:p>
    <w:p>
      <w:pPr>
        <w:spacing w:after="30"/>
      </w:pPr>
      <w:r>
        <w:rPr>
          <w:b/>
        </w:rPr>
        <w:t xml:space="preserve">KAY-016-14 — Derivative Works &amp; Improvements. </w:t>
      </w:r>
      <w:r>
        <w:t>All Seller-owned modifications, enhancements, revisions, derivative works and improvements to the scheduled Kayla Assets existing as of Closing, unless expressly excluded in the final Schedule.</w:t>
      </w:r>
    </w:p>
    <w:p>
      <w:pPr>
        <w:spacing w:before="120" w:after="20"/>
      </w:pPr>
      <w:r>
        <w:rPr>
          <w:b/>
          <w:sz w:val="20"/>
        </w:rPr>
        <w:t>C. TECHNICAL DELIVERY &amp; EVIDENCE</w:t>
      </w:r>
    </w:p>
    <w:p>
      <w:pPr>
        <w:spacing w:after="30"/>
      </w:pPr>
      <w:r>
        <w:rPr>
          <w:b/>
        </w:rPr>
        <w:t xml:space="preserve">KAY-016-15 — Repository Mapping. </w:t>
      </w:r>
      <w:r>
        <w:t>Each material Kayla source component should, where applicable, be mapped to its repository, directory, branch, release, deployment or other technical location.</w:t>
      </w:r>
    </w:p>
    <w:p>
      <w:pPr>
        <w:spacing w:after="30"/>
      </w:pPr>
      <w:r>
        <w:rPr>
          <w:b/>
        </w:rPr>
        <w:t xml:space="preserve">KAY-016-16 — Version Evidence. </w:t>
      </w:r>
      <w:r>
        <w:t>The transfer record may identify version numbers, commit references, timestamps, release identifiers and cryptographic hashes or comparable integrity evidence for material source artifacts.</w:t>
      </w:r>
    </w:p>
    <w:p>
      <w:pPr>
        <w:spacing w:after="30"/>
      </w:pPr>
      <w:r>
        <w:rPr>
          <w:b/>
        </w:rPr>
        <w:t xml:space="preserve">KAY-016-17 — Dependency Manifest. </w:t>
      </w:r>
      <w:r>
        <w:t>A technical inventory should identify material third-party models, APIs, libraries, packages, SaaS services, hosting, storage, authentication and other dependencies required for operation.</w:t>
      </w:r>
    </w:p>
    <w:p>
      <w:pPr>
        <w:spacing w:after="30"/>
      </w:pPr>
      <w:r>
        <w:rPr>
          <w:b/>
        </w:rPr>
        <w:t xml:space="preserve">KAY-016-18 — Credential Transition. </w:t>
      </w:r>
      <w:r>
        <w:t>Passwords, tokens, API keys and other secrets are not printed in this Schedule. Transferable credentials will be migrated securely; non-transferable credentials will be replaced with Buyer-controlled credentials.</w:t>
      </w:r>
    </w:p>
    <w:p>
      <w:pPr>
        <w:spacing w:after="30"/>
      </w:pPr>
      <w:r>
        <w:rPr>
          <w:b/>
        </w:rPr>
        <w:t xml:space="preserve">KAY-016-19 — Codex-Assisted Inventory. </w:t>
      </w:r>
      <w:r>
        <w:t>The parties may use Codex or comparable repository-analysis tooling to generate or validate file inventories, dependency records, architecture mappings, source manifests and technical evidence. Machine-generated output should be reconciled against the actual delivered repositories before final acceptance.</w:t>
      </w:r>
    </w:p>
    <w:p>
      <w:pPr>
        <w:spacing w:before="120" w:after="20"/>
      </w:pPr>
      <w:r>
        <w:rPr>
          <w:b/>
          <w:sz w:val="20"/>
        </w:rPr>
        <w:t>D. EXPRESS EXCLUSIONS / BOUNDARIES</w:t>
      </w:r>
    </w:p>
    <w:p>
      <w:pPr>
        <w:spacing w:after="30"/>
      </w:pPr>
      <w:r>
        <w:rPr>
          <w:b/>
        </w:rPr>
        <w:t xml:space="preserve">KAY-016-20 — Third-Party Technology. </w:t>
      </w:r>
      <w:r>
        <w:t>Third-party models, software, APIs, libraries, SaaS products, hosting, data, content, fonts, media and other third-party property are not acquired merely because Kayla uses or integrates with them.</w:t>
      </w:r>
    </w:p>
    <w:p>
      <w:pPr>
        <w:spacing w:after="30"/>
      </w:pPr>
      <w:r>
        <w:rPr>
          <w:b/>
        </w:rPr>
        <w:t xml:space="preserve">KAY-016-21 — Unrelated BMV Intellectual Property. </w:t>
      </w:r>
      <w:r>
        <w:t>BMV governance, infrastructure, operating-system, orchestration, intelligence-layer or other background intellectual property not specifically included in the Kayla Assets remains BMV property and is governed separately where applicable.</w:t>
      </w:r>
    </w:p>
    <w:p>
      <w:pPr>
        <w:spacing w:after="30"/>
      </w:pPr>
      <w:r>
        <w:rPr>
          <w:b/>
        </w:rPr>
        <w:t xml:space="preserve">KAY-016-22 — Education Platform Assets. </w:t>
      </w:r>
      <w:r>
        <w:t>The Education Platform assets governed by VCA-PLAT-012 and VCA-PLAT-013 are not purchased under this Schedule merely because the Education Platform integrates with or displays Kayla.</w:t>
      </w:r>
    </w:p>
    <w:p>
      <w:pPr>
        <w:spacing w:after="30"/>
      </w:pPr>
      <w:r>
        <w:rPr>
          <w:b/>
        </w:rPr>
        <w:t xml:space="preserve">KAY-016-23 — Customer / Personal / Restricted Data. </w:t>
      </w:r>
      <w:r>
        <w:t>No customer, learner, employee, personal, regulated or restricted data transfers unless legally transferable, specifically identified and handled through an approved data-transfer process.</w:t>
      </w:r>
    </w:p>
    <w:p>
      <w:pPr>
        <w:spacing w:after="30"/>
      </w:pPr>
      <w:r>
        <w:rPr>
          <w:b/>
        </w:rPr>
        <w:t xml:space="preserve">KAY-016-24 — No Retained Kayla Ownership. </w:t>
      </w:r>
      <w:r>
        <w:t>Following Closing, Seller retains no ownership, governance, approval, reversionary or control interest in the transferred Kayla Assets. BMV’s separately agreed residual is an economic payment right only.</w:t>
      </w:r>
    </w:p>
    <w:p>
      <w:pPr>
        <w:spacing w:before="120" w:after="20"/>
      </w:pPr>
      <w:r>
        <w:rPr>
          <w:b/>
          <w:sz w:val="20"/>
        </w:rPr>
        <w:t>E. ECONOMIC CROSS-REFERENCE</w:t>
      </w:r>
    </w:p>
    <w:p>
      <w:pPr>
        <w:spacing w:after="30"/>
      </w:pPr>
      <w:r>
        <w:rPr>
          <w:b/>
        </w:rPr>
        <w:t xml:space="preserve">KAY-016-25 — Purchase Price. </w:t>
      </w:r>
      <w:r>
        <w:t>The Kayla purchase price is $100,000, payable from the agreed $3,000,000 capitalization at Closing under VCA-PLAT-015.</w:t>
      </w:r>
    </w:p>
    <w:p>
      <w:pPr>
        <w:spacing w:after="30"/>
      </w:pPr>
      <w:r>
        <w:rPr>
          <w:b/>
        </w:rPr>
        <w:t xml:space="preserve">KAY-016-26 — Residual. </w:t>
      </w:r>
      <w:r>
        <w:t>The BMV residual is governed by VCA-PLAT-015 and the definitive residual administration provisions: 5.0% on the first $50,000,000 of cumulative Kayla-Attributable Revenue; 3.5% above $50,000,000 through $100,000,000; and 2.5% thereafter, permanently terminating once BMV has received $7,500,000 in aggregate residual payments.</w:t>
      </w:r>
    </w:p>
    <w:p>
      <w:pPr>
        <w:spacing w:after="30"/>
      </w:pPr>
      <w:r>
        <w:rPr>
          <w:b/>
        </w:rPr>
        <w:t xml:space="preserve">KAY-016-27 — Ownership Not Conditioned on Continuing Residual. </w:t>
      </w:r>
      <w:r>
        <w:t>The residual obligation does not reserve title to Kayla. Upon Closing, VCA Platforms receives the ownership transferred under VCA-PLAT-015, while the residual continues solely as the agreed contractual payment obligation until its permanent termination.</w:t>
      </w:r>
    </w:p>
    <w:p>
      <w:pPr>
        <w:spacing w:before="120" w:after="20"/>
      </w:pPr>
      <w:r>
        <w:rPr>
          <w:b/>
          <w:sz w:val="20"/>
        </w:rPr>
        <w:t>F. FINAL RECONCILIATION / CLOSING STATUS</w:t>
      </w:r>
    </w:p>
    <w:p>
      <w:pPr>
        <w:spacing w:after="30"/>
      </w:pPr>
      <w:r>
        <w:rPr>
          <w:b/>
        </w:rPr>
        <w:t xml:space="preserve">KAY-016-28 — Final Inventory. </w:t>
      </w:r>
      <w:r>
        <w:t>Before execution at Closing, this Schedule should be populated or supplemented with the actual repository names, material asset identifiers, documentation references, ownership evidence, dependency status and any expressly excluded items discovered during technical reconciliation.</w:t>
      </w:r>
    </w:p>
    <w:p>
      <w:pPr>
        <w:spacing w:after="30"/>
      </w:pPr>
      <w:r>
        <w:rPr>
          <w:b/>
        </w:rPr>
        <w:t xml:space="preserve">KAY-016-29 — Exceptions. </w:t>
      </w:r>
      <w:r>
        <w:t>Any unresolved ownership question, missing source component, non-transferable dependency, incomplete credential migration or other material exception should be specifically listed rather than treated as delivered.</w:t>
      </w:r>
    </w:p>
    <w:p>
      <w:pPr>
        <w:spacing w:after="30"/>
      </w:pPr>
      <w:r>
        <w:rPr>
          <w:b/>
        </w:rPr>
        <w:t xml:space="preserve">KAY-016-30 — Closing Activation. </w:t>
      </w:r>
      <w:r>
        <w:t>When the parties confirm delivery and acceptance, the final Schedule may be marked ACTIVE / TRANSFER COMPLETE and incorporated into the executed VCA-PLAT-015 closing record.</w:t>
      </w:r>
    </w:p>
    <w:p>
      <w:pPr>
        <w:spacing w:before="120" w:after="20"/>
      </w:pPr>
      <w:r>
        <w:rPr>
          <w:b/>
          <w:sz w:val="20"/>
        </w:rPr>
        <w:t>G. ACKNOWLEDGMENT OF FINAL SCHEDULE</w:t>
      </w:r>
    </w:p>
    <w:p>
      <w:r>
        <w:t>The undersigned acknowledge that the executed version of this Schedule identifies the Kayla Assets delivered or otherwise accounted for at Closing. Signature of this Schedule does not alter the purchase price, ownership transfer or residual economics established in VCA-PLAT-015 and the controlling definitive transaction documents.</w:t>
      </w:r>
    </w:p>
    <w:tbl>
      <w:tblPr>
        <w:tblW w:type="auto" w:w="0"/>
        <w:jc w:val="center"/>
        <w:tblLook w:firstColumn="1" w:firstRow="1" w:lastColumn="0" w:lastRow="0" w:noHBand="0" w:noVBand="1" w:val="04A0"/>
      </w:tblPr>
      <w:tblGrid>
        <w:gridCol w:w="5083"/>
        <w:gridCol w:w="5083"/>
      </w:tblGrid>
      <w:tr>
        <w:tc>
          <w:tcPr>
            <w:tcW w:type="dxa" w:w="5083"/>
          </w:tcPr>
          <w:p>
            <w:r>
              <w:rPr>
                <w:b/>
              </w:rPr>
              <w:t>SELLER</w:t>
              <w:br/>
              <w:t>BMV HOLDINGS LLC</w:t>
              <w:br/>
              <w:br/>
            </w:r>
            <w:r>
              <w:t>By: ______________________________</w:t>
              <w:br/>
              <w:t>Name: Vince Carol</w:t>
              <w:br/>
              <w:t>Title: Authorized Representative</w:t>
              <w:br/>
              <w:t>Date: _____________________________</w:t>
            </w:r>
          </w:p>
        </w:tc>
        <w:tc>
          <w:tcPr>
            <w:tcW w:type="dxa" w:w="5083"/>
          </w:tcPr>
          <w:p>
            <w:r>
              <w:rPr>
                <w:b/>
              </w:rPr>
              <w:t>BUYER</w:t>
              <w:br/>
              <w:t>VCA PLATFORMS LLC</w:t>
              <w:br/>
              <w:br/>
            </w:r>
            <w:r>
              <w:t>By: ______________________________</w:t>
              <w:br/>
              <w:t>Name: Vince Carol</w:t>
              <w:br/>
              <w:t>Title: Authorized Representative</w:t>
              <w:br/>
              <w:t>Date: _____________________________</w:t>
            </w:r>
          </w:p>
        </w:tc>
      </w:tr>
    </w:tbl>
    <w:p>
      <w:pPr>
        <w:jc w:val="center"/>
      </w:pPr>
      <w:r>
        <w:rPr>
          <w:b/>
        </w:rPr>
        <w:t>ACKNOWLEDGED — ACORN CAPITAL HOLDINGS LLC</w:t>
      </w:r>
    </w:p>
    <w:p>
      <w:pPr>
        <w:jc w:val="center"/>
      </w:pPr>
      <w:r>
        <w:t>By: ______________________________</w:t>
        <w:br/>
        <w:t>Name: Duane F. Guilford</w:t>
        <w:br/>
        <w:t>Title: Authorized Representative</w:t>
        <w:br/>
        <w:t>Date: _____________________________</w:t>
      </w:r>
    </w:p>
    <w:sectPr w:rsidR="00FC693F" w:rsidRPr="0006063C" w:rsidSect="00034616">
      <w:footerReference w:type="default" r:id="rId9"/>
      <w:pgSz w:w="12240" w:h="15840"/>
      <w:pgMar w:top="835" w:right="1037" w:bottom="835"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VCA-PLAT-016 | Kayla Acquired IP Asset Schedule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